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r w:rsidRPr="002D01F3">
              <w:drawing>
                <wp:inline distT="0" distB="0" distL="0" distR="0" wp14:anchorId="162DBA2E" wp14:editId="734C3174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026DCA" w:rsidRPr="00967940" w:rsidRDefault="00026DCA" w:rsidP="003D5004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3D5004">
              <w:rPr>
                <w:rFonts w:cs="Arial"/>
                <w:szCs w:val="20"/>
              </w:rPr>
              <w:t>3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5B3047" w:rsidRPr="004A4D16" w:rsidRDefault="008A2531">
            <w:pPr>
              <w:keepNext/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outlineLvl w:val="0"/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</w:pPr>
            <w:bookmarkStart w:id="0" w:name="_Toc56407686"/>
            <w:r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  <w:t>TADİL TASARISI</w:t>
            </w:r>
          </w:p>
          <w:p w:rsidR="005B3047" w:rsidRPr="00967940" w:rsidRDefault="008A2531" w:rsidP="0021617A">
            <w:pPr>
              <w:rPr>
                <w:rFonts w:cs="Arial"/>
                <w:szCs w:val="20"/>
              </w:rPr>
            </w:pPr>
            <w:r>
              <w:rPr>
                <w:rFonts w:cs="Arial"/>
                <w:i/>
                <w:iCs/>
                <w:lang w:val="en-AU" w:eastAsia="ar-SA"/>
              </w:rPr>
              <w:t>DRAFT AMENDMENT</w:t>
            </w:r>
            <w:bookmarkEnd w:id="0"/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Default="00F57AA3"/>
    <w:p w:rsidR="004864FC" w:rsidRDefault="004864FC"/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6542FC" w:rsidP="00073BB4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026DCA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073BB4">
              <w:rPr>
                <w:rFonts w:cs="Arial"/>
                <w:i w:val="0"/>
                <w:iCs w:val="0"/>
                <w:sz w:val="32"/>
                <w:szCs w:val="32"/>
              </w:rPr>
              <w:t>3958</w:t>
            </w:r>
            <w:r w:rsidR="005B3047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6F5FE6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</w:t>
            </w:r>
            <w:r w:rsidR="00AB72E3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10</w:t>
            </w:r>
          </w:p>
        </w:tc>
      </w:tr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4864FC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0C0D54" w:rsidRPr="00026DCA">
              <w:rPr>
                <w:rFonts w:cs="Arial"/>
                <w:sz w:val="32"/>
                <w:szCs w:val="32"/>
                <w:lang w:val="tr-TR"/>
              </w:rPr>
              <w:t>T</w:t>
            </w:r>
            <w:r w:rsidR="00073BB4">
              <w:rPr>
                <w:rFonts w:cs="Arial"/>
                <w:sz w:val="32"/>
                <w:szCs w:val="32"/>
                <w:lang w:val="tr-TR"/>
              </w:rPr>
              <w:t>2</w:t>
            </w:r>
            <w:r w:rsidR="0021617A" w:rsidRPr="00026DCA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21617A" w:rsidRDefault="0021617A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4864FC" w:rsidRDefault="004864FC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21617A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A81DF6">
        <w:rPr>
          <w:rFonts w:cs="Arial"/>
          <w:sz w:val="24"/>
        </w:rPr>
        <w:t>67</w:t>
      </w:r>
      <w:r>
        <w:rPr>
          <w:rFonts w:cs="Arial"/>
          <w:sz w:val="24"/>
        </w:rPr>
        <w:t>.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8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.10</w:t>
      </w:r>
    </w:p>
    <w:p w:rsidR="0021617A" w:rsidRDefault="0021617A" w:rsidP="0021617A">
      <w:pPr>
        <w:rPr>
          <w:rFonts w:cs="Arial"/>
          <w:b/>
          <w:sz w:val="16"/>
          <w:szCs w:val="16"/>
        </w:rPr>
      </w:pPr>
    </w:p>
    <w:p w:rsidR="00026DCA" w:rsidRDefault="00026DCA" w:rsidP="00026DCA">
      <w:pPr>
        <w:rPr>
          <w:rFonts w:eastAsia="Calibri" w:cs="Arial"/>
          <w:noProof w:val="0"/>
          <w:szCs w:val="20"/>
          <w:lang w:eastAsia="en-US"/>
        </w:rPr>
      </w:pPr>
      <w:r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</w:t>
      </w:r>
      <w:r w:rsidR="000932C0">
        <w:rPr>
          <w:rFonts w:eastAsia="Calibri" w:cs="Arial"/>
          <w:noProof w:val="0"/>
          <w:lang w:eastAsia="en-US"/>
        </w:rPr>
        <w:t xml:space="preserve"> </w:t>
      </w:r>
      <w:r w:rsidR="008A2531">
        <w:t>…….</w:t>
      </w:r>
      <w:r w:rsidR="000932C0">
        <w:t xml:space="preserve"> </w:t>
      </w:r>
      <w:r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9B6C9E" w:rsidRPr="00D364CB" w:rsidRDefault="009B6C9E" w:rsidP="009B6C9E">
      <w:pPr>
        <w:rPr>
          <w:rFonts w:cs="Arial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41"/>
      </w:tblGrid>
      <w:tr w:rsidR="00A74402" w:rsidTr="0076195F">
        <w:trPr>
          <w:trHeight w:val="471"/>
        </w:trPr>
        <w:tc>
          <w:tcPr>
            <w:tcW w:w="9854" w:type="dxa"/>
            <w:hideMark/>
          </w:tcPr>
          <w:p w:rsidR="00A74402" w:rsidRDefault="00A74402" w:rsidP="0076195F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 xml:space="preserve">Vişne </w:t>
            </w:r>
            <w:r>
              <w:rPr>
                <w:rFonts w:cs="Arial"/>
                <w:b/>
                <w:bCs/>
                <w:sz w:val="28"/>
                <w:szCs w:val="28"/>
              </w:rPr>
              <w:t>r</w:t>
            </w:r>
            <w:r>
              <w:rPr>
                <w:rFonts w:cs="Arial"/>
                <w:b/>
                <w:bCs/>
                <w:sz w:val="28"/>
                <w:szCs w:val="28"/>
              </w:rPr>
              <w:t>eçeli</w:t>
            </w:r>
          </w:p>
        </w:tc>
      </w:tr>
      <w:tr w:rsidR="00A74402" w:rsidTr="0076195F">
        <w:tc>
          <w:tcPr>
            <w:tcW w:w="9854" w:type="dxa"/>
            <w:hideMark/>
          </w:tcPr>
          <w:p w:rsidR="00A74402" w:rsidRDefault="00A74402" w:rsidP="0076195F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Sour cherry jam</w:t>
            </w:r>
            <w:bookmarkStart w:id="1" w:name="_GoBack"/>
            <w:bookmarkEnd w:id="1"/>
          </w:p>
        </w:tc>
      </w:tr>
    </w:tbl>
    <w:p w:rsidR="00E26AA8" w:rsidRDefault="00E26AA8" w:rsidP="0021617A">
      <w:pPr>
        <w:rPr>
          <w:rFonts w:cs="Arial"/>
          <w:sz w:val="16"/>
          <w:szCs w:val="16"/>
        </w:rPr>
      </w:pPr>
    </w:p>
    <w:p w:rsidR="00A74402" w:rsidRDefault="00A74402" w:rsidP="00A74402">
      <w:pPr>
        <w:contextualSpacing/>
        <w:rPr>
          <w:rFonts w:cs="Arial"/>
          <w:b/>
          <w:szCs w:val="20"/>
        </w:rPr>
      </w:pPr>
    </w:p>
    <w:p w:rsidR="00A74402" w:rsidRPr="007008B0" w:rsidRDefault="00A74402" w:rsidP="00A74402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 xml:space="preserve">2 Atıf yapılan standartlar ve/veya dokümanlar listesinden aşağıdaki standartlar çıkarılmıştır. </w:t>
      </w:r>
      <w:r w:rsidRPr="006F5FE6">
        <w:rPr>
          <w:rFonts w:cs="Arial"/>
          <w:szCs w:val="20"/>
        </w:rPr>
        <w:t xml:space="preserve"> </w:t>
      </w:r>
    </w:p>
    <w:p w:rsidR="00A74402" w:rsidRDefault="00A74402" w:rsidP="00A74402">
      <w:pPr>
        <w:jc w:val="center"/>
        <w:rPr>
          <w:b/>
          <w:sz w:val="28"/>
          <w:szCs w:val="28"/>
        </w:rPr>
      </w:pPr>
    </w:p>
    <w:tbl>
      <w:tblPr>
        <w:tblW w:w="95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664"/>
      </w:tblGrid>
      <w:tr w:rsidR="00A74402" w:rsidRPr="005B6E01" w:rsidTr="00B57C06">
        <w:trPr>
          <w:trHeight w:val="19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02" w:rsidRPr="005B6E01" w:rsidRDefault="00A74402" w:rsidP="00B57C06">
            <w:pPr>
              <w:spacing w:line="240" w:lineRule="exact"/>
              <w:jc w:val="center"/>
              <w:rPr>
                <w:rFonts w:cs="Arial"/>
                <w:b/>
                <w:bCs/>
              </w:rPr>
            </w:pPr>
            <w:r w:rsidRPr="005B6E01">
              <w:rPr>
                <w:rFonts w:cs="Arial"/>
                <w:b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02" w:rsidRPr="005B6E01" w:rsidRDefault="00A74402" w:rsidP="00B57C06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02" w:rsidRPr="005B6E01" w:rsidRDefault="00A74402" w:rsidP="00B57C06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İngilizce Adı</w:t>
            </w:r>
          </w:p>
        </w:tc>
      </w:tr>
      <w:tr w:rsidR="00A74402" w:rsidRPr="005B6E01" w:rsidTr="00A74402">
        <w:trPr>
          <w:trHeight w:val="57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6063 ISO 7251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Mikrobiyoloji - Muhtemel </w:t>
            </w:r>
            <w:r>
              <w:rPr>
                <w:rFonts w:cs="Arial"/>
                <w:bCs/>
                <w:bdr w:val="none" w:sz="0" w:space="0" w:color="auto" w:frame="1"/>
              </w:rPr>
              <w:t>E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>scherichia coli sayımı için genel kurallar en muhtemel sayı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Microbiology - General guidance for enumeration of presumptive </w:t>
            </w:r>
            <w:r>
              <w:rPr>
                <w:rFonts w:cs="Arial"/>
                <w:bCs/>
                <w:bdr w:val="none" w:sz="0" w:space="0" w:color="auto" w:frame="1"/>
              </w:rPr>
              <w:t>E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>scherichia coli - Most probable number technique  </w:t>
            </w:r>
          </w:p>
        </w:tc>
      </w:tr>
      <w:tr w:rsidR="00A74402" w:rsidRPr="005B6E01" w:rsidTr="00A74402">
        <w:trPr>
          <w:trHeight w:val="57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EN ISO 6579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Mikrobiyoloji - Gıda ve hayvan yemleri - Salmonella türlerinin belirlenmesi için yatay yöntem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Microbiolgy of food and animal feeding stuffs - Horizontal method for detection of salmonella spp</w:t>
            </w:r>
          </w:p>
        </w:tc>
      </w:tr>
      <w:tr w:rsidR="00A74402" w:rsidRPr="005B6E01" w:rsidTr="00A74402">
        <w:trPr>
          <w:trHeight w:val="5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6580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Mikrobiyoloji - Maya ve küf sayımında genel kurallar -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7B1FBF">
                <w:rPr>
                  <w:rFonts w:cs="Arial"/>
                  <w:bCs/>
                  <w:bdr w:val="none" w:sz="0" w:space="0" w:color="auto" w:frame="1"/>
                </w:rPr>
                <w:t>25°C</w:t>
              </w:r>
            </w:smartTag>
            <w:r w:rsidRPr="007B1FBF">
              <w:rPr>
                <w:rFonts w:cs="Arial"/>
                <w:bCs/>
                <w:bdr w:val="none" w:sz="0" w:space="0" w:color="auto" w:frame="1"/>
              </w:rPr>
              <w:t>'ta koloni sayım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Microbiology - General guidance for enumeration of yeasts and moulds - Colony count technique at 25 degree  </w:t>
            </w:r>
          </w:p>
        </w:tc>
      </w:tr>
      <w:tr w:rsidR="00A74402" w:rsidRPr="005B6E01" w:rsidTr="00A74402">
        <w:trPr>
          <w:trHeight w:val="133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  <w:szCs w:val="20"/>
              </w:rPr>
              <w:t>TS 6582-1 EN ISO 6888-1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Gıda ve hayvan yemlerinin mikrobiyolojisi - Koagulaz - Pozitif stafilokokların (staphyloccus aureus ve diğer türler) sayımı için yatay metot - Bölüm 1: Baird - parker agar besiyeri kullanarak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the enumeration of coagulase - positive staphylococci (staphylococcus aureus and other species) - Part 1: Technique using baird - parker agar medium; amendment 1: Inclusion of precision data</w:t>
            </w:r>
          </w:p>
        </w:tc>
      </w:tr>
      <w:tr w:rsidR="00A74402" w:rsidRPr="005B6E01" w:rsidTr="00A74402">
        <w:trPr>
          <w:trHeight w:val="58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EN ISO 7932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Gıda ve hayvan yemlerinin mikrobiyolojisi - Muhtemel </w:t>
            </w:r>
            <w:r>
              <w:rPr>
                <w:rFonts w:cs="Arial"/>
                <w:bCs/>
                <w:bdr w:val="none" w:sz="0" w:space="0" w:color="auto" w:frame="1"/>
              </w:rPr>
              <w:t>B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 xml:space="preserve">acillus cereus sayımı için yatay yöntem -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7B1FBF">
                <w:rPr>
                  <w:rFonts w:cs="Arial"/>
                  <w:bCs/>
                  <w:bdr w:val="none" w:sz="0" w:space="0" w:color="auto" w:frame="1"/>
                </w:rPr>
                <w:t>30°C</w:t>
              </w:r>
            </w:smartTag>
            <w:r w:rsidRPr="007B1FBF">
              <w:rPr>
                <w:rFonts w:cs="Arial"/>
                <w:bCs/>
                <w:bdr w:val="none" w:sz="0" w:space="0" w:color="auto" w:frame="1"/>
              </w:rPr>
              <w:t xml:space="preserve"> ’ta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Microbiology - General guidance for the enumeration of bacillus cereus - Colony count technique at 30 °</w:t>
            </w:r>
            <w:r>
              <w:rPr>
                <w:rFonts w:cs="Arial"/>
                <w:bCs/>
                <w:bdr w:val="none" w:sz="0" w:space="0" w:color="auto" w:frame="1"/>
              </w:rPr>
              <w:t>C</w:t>
            </w:r>
          </w:p>
        </w:tc>
      </w:tr>
      <w:tr w:rsidR="00A74402" w:rsidRPr="005B6E01" w:rsidTr="00A74402">
        <w:trPr>
          <w:trHeight w:val="7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EN ISO 7937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Gıda ve hayvan yemlerinin mikrobiyolojisi - Clostridium perfr</w:t>
            </w:r>
            <w:r>
              <w:rPr>
                <w:rFonts w:cs="Arial"/>
                <w:bCs/>
                <w:bdr w:val="none" w:sz="0" w:space="0" w:color="auto" w:frame="1"/>
              </w:rPr>
              <w:t>i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>ngens sayımı için yatay yöntem -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Microbiology of food and animal feeding stuffs  - Horizontal method for the enumeration of clostridium perfringens  -  colony count technique</w:t>
            </w:r>
          </w:p>
        </w:tc>
      </w:tr>
      <w:tr w:rsidR="00A74402" w:rsidRPr="005B6E01" w:rsidTr="00A74402">
        <w:trPr>
          <w:trHeight w:val="7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EN ISO 10272-1</w:t>
            </w:r>
            <w:r>
              <w:rPr>
                <w:rFonts w:cs="Arial"/>
                <w:bCs/>
              </w:rPr>
              <w:t>*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Gıda ve hayvan besleme maddelerinin mikrobiyolojisi - Campylobacter spp. nin sayımı ve belirlenmesi için yatay metot - Bölüm I:Belirleme yöntemi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detection and enumeration of campylobacter spp. - Part 1: Detection method</w:t>
            </w:r>
          </w:p>
        </w:tc>
      </w:tr>
      <w:tr w:rsidR="00A74402" w:rsidRPr="005B6E01" w:rsidTr="00A74402">
        <w:trPr>
          <w:trHeight w:val="7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EN ISO 11290-1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Gıda ve yem maddelerinin mikrobiyolojisi - Listeria monocytogenes'in aranması ve sayımı metodu bölüm 1: arama metodu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B1FBF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the detection and enumeration of listeria monocytogenes - Part 1: Detection method; amendment 1: Modification of the isolation media and the haemolysis test, and inclusion of precision data</w:t>
            </w:r>
          </w:p>
        </w:tc>
      </w:tr>
    </w:tbl>
    <w:p w:rsidR="00A74402" w:rsidRDefault="00A74402" w:rsidP="00A74402">
      <w:pPr>
        <w:ind w:left="142"/>
        <w:contextualSpacing/>
        <w:rPr>
          <w:rFonts w:cs="Arial"/>
          <w:b/>
          <w:szCs w:val="20"/>
        </w:rPr>
      </w:pPr>
    </w:p>
    <w:p w:rsidR="00A74402" w:rsidRDefault="00A74402" w:rsidP="00A74402">
      <w:pPr>
        <w:ind w:left="142"/>
        <w:contextualSpacing/>
        <w:rPr>
          <w:rFonts w:cs="Arial"/>
          <w:b/>
          <w:szCs w:val="20"/>
        </w:rPr>
      </w:pPr>
    </w:p>
    <w:p w:rsidR="00A74402" w:rsidRDefault="00A74402" w:rsidP="00A74402">
      <w:pPr>
        <w:ind w:left="142"/>
        <w:contextualSpacing/>
        <w:jc w:val="right"/>
        <w:rPr>
          <w:rFonts w:cs="Arial"/>
          <w:szCs w:val="20"/>
        </w:rPr>
      </w:pPr>
      <w:r>
        <w:rPr>
          <w:rFonts w:cs="Arial"/>
          <w:szCs w:val="20"/>
        </w:rPr>
        <w:t>Sayfa 2/2</w:t>
      </w:r>
    </w:p>
    <w:p w:rsidR="00A74402" w:rsidRDefault="00A74402" w:rsidP="00A74402">
      <w:pPr>
        <w:tabs>
          <w:tab w:val="right" w:pos="9639"/>
        </w:tabs>
        <w:contextualSpacing/>
        <w:rPr>
          <w:rFonts w:cs="Arial"/>
          <w:szCs w:val="20"/>
        </w:rPr>
      </w:pPr>
      <w:r>
        <w:rPr>
          <w:rFonts w:cs="Arial"/>
          <w:szCs w:val="20"/>
        </w:rPr>
        <w:t>ICS 67.080.10</w:t>
      </w:r>
      <w:r>
        <w:rPr>
          <w:rFonts w:cs="Arial"/>
          <w:szCs w:val="20"/>
        </w:rPr>
        <w:tab/>
        <w:t xml:space="preserve">TS </w:t>
      </w:r>
      <w:r>
        <w:rPr>
          <w:rFonts w:cs="Arial"/>
          <w:szCs w:val="20"/>
        </w:rPr>
        <w:t>3958: 2010/tst T2</w:t>
      </w:r>
    </w:p>
    <w:p w:rsidR="00A74402" w:rsidRDefault="00A74402" w:rsidP="00A74402">
      <w:pPr>
        <w:pBdr>
          <w:top w:val="single" w:sz="4" w:space="1" w:color="auto"/>
        </w:pBdr>
        <w:contextualSpacing/>
        <w:rPr>
          <w:rFonts w:cs="Arial"/>
          <w:b/>
          <w:szCs w:val="20"/>
        </w:rPr>
      </w:pPr>
    </w:p>
    <w:p w:rsidR="00A74402" w:rsidRPr="007008B0" w:rsidRDefault="00A74402" w:rsidP="00A74402">
      <w:pPr>
        <w:numPr>
          <w:ilvl w:val="0"/>
          <w:numId w:val="11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 xml:space="preserve">2 Atıf yapılan standartlar ve/veya dokümanlar listesine aşağıdaki standart eklenmiştir. </w:t>
      </w:r>
      <w:r w:rsidRPr="006F5FE6">
        <w:rPr>
          <w:rFonts w:cs="Arial"/>
          <w:szCs w:val="20"/>
        </w:rPr>
        <w:t xml:space="preserve"> </w:t>
      </w:r>
    </w:p>
    <w:p w:rsidR="00A74402" w:rsidRPr="00A74402" w:rsidRDefault="00A74402" w:rsidP="00A74402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814"/>
      </w:tblGrid>
      <w:tr w:rsidR="00A74402" w:rsidRPr="005B6E01" w:rsidTr="00A74402">
        <w:trPr>
          <w:trHeight w:val="19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02" w:rsidRPr="005B6E01" w:rsidRDefault="00A74402" w:rsidP="00B57C06">
            <w:pPr>
              <w:spacing w:line="240" w:lineRule="exact"/>
              <w:jc w:val="center"/>
              <w:rPr>
                <w:rFonts w:cs="Arial"/>
                <w:b/>
                <w:bCs/>
              </w:rPr>
            </w:pPr>
            <w:r w:rsidRPr="005B6E01">
              <w:rPr>
                <w:rFonts w:cs="Arial"/>
                <w:b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02" w:rsidRPr="005B6E01" w:rsidRDefault="00A74402" w:rsidP="00B57C06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402" w:rsidRPr="005B6E01" w:rsidRDefault="00A74402" w:rsidP="00B57C06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İngilizce Adı</w:t>
            </w:r>
          </w:p>
        </w:tc>
      </w:tr>
      <w:tr w:rsidR="00A74402" w:rsidRPr="007008B0" w:rsidTr="00A74402">
        <w:trPr>
          <w:trHeight w:val="57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008B0" w:rsidRDefault="00A74402" w:rsidP="00A74402">
            <w:pPr>
              <w:spacing w:line="240" w:lineRule="exact"/>
              <w:jc w:val="left"/>
              <w:rPr>
                <w:rFonts w:cs="Arial"/>
                <w:bCs/>
              </w:rPr>
            </w:pPr>
            <w:r w:rsidRPr="004D13C1">
              <w:t>TS ISO 21527-2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008B0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3C1">
              <w:t>Gıda ve hayvan yemleri mikrobiyolojisi - Maya ve küflerin sayımı için yatay yöntem - Bölüm 2: Su aktivitesi 0,95'e eşit veya daha düşük olan ürünlerde koloni sayım tekniği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02" w:rsidRPr="007008B0" w:rsidRDefault="00A74402" w:rsidP="00A74402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3C1">
              <w:t>Microbiology of food and animal feeding stuffs - Horizontal method for the enumeration of yeasts and moulds - Part 2: Colony count technique in products with water activity less than or equal to 0,95</w:t>
            </w:r>
          </w:p>
        </w:tc>
      </w:tr>
    </w:tbl>
    <w:p w:rsidR="00A74402" w:rsidRDefault="00A74402" w:rsidP="00A74402">
      <w:pPr>
        <w:contextualSpacing/>
        <w:rPr>
          <w:rFonts w:cs="Arial"/>
          <w:b/>
          <w:szCs w:val="20"/>
        </w:rPr>
      </w:pPr>
    </w:p>
    <w:p w:rsidR="006F5FE6" w:rsidRPr="00A74402" w:rsidRDefault="006F5FE6" w:rsidP="006F5FE6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4.2.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</w:t>
      </w:r>
      <w:r w:rsidR="00AB72E3">
        <w:rPr>
          <w:rFonts w:cs="Arial"/>
          <w:szCs w:val="20"/>
        </w:rPr>
        <w:t>Mikrobiyoljik</w:t>
      </w:r>
      <w:r w:rsidRPr="006F5FE6">
        <w:rPr>
          <w:rFonts w:cs="Arial"/>
          <w:szCs w:val="20"/>
        </w:rPr>
        <w:t xml:space="preserve"> özellikler Çizelge 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aşağıdaki şekilde değiştirilmiştir. </w:t>
      </w:r>
    </w:p>
    <w:p w:rsidR="00AB72E3" w:rsidRPr="00A74402" w:rsidRDefault="00AB72E3" w:rsidP="00A74402">
      <w:pPr>
        <w:contextualSpacing/>
        <w:rPr>
          <w:rFonts w:cs="Arial"/>
          <w:b/>
          <w:szCs w:val="20"/>
        </w:rPr>
      </w:pPr>
    </w:p>
    <w:p w:rsidR="00AB72E3" w:rsidRPr="00A74402" w:rsidRDefault="00AB72E3" w:rsidP="00A74402">
      <w:pPr>
        <w:spacing w:line="240" w:lineRule="exact"/>
        <w:rPr>
          <w:noProof w:val="0"/>
          <w:lang w:eastAsia="en-US"/>
        </w:rPr>
      </w:pPr>
      <w:r w:rsidRPr="00AB72E3">
        <w:rPr>
          <w:b/>
          <w:bCs/>
          <w:noProof w:val="0"/>
          <w:lang w:eastAsia="en-US"/>
        </w:rPr>
        <w:t>Çizelge 5</w:t>
      </w:r>
      <w:r w:rsidRPr="00AB72E3">
        <w:rPr>
          <w:noProof w:val="0"/>
          <w:lang w:eastAsia="en-US"/>
        </w:rPr>
        <w:t xml:space="preserve"> - </w:t>
      </w:r>
      <w:r w:rsidR="005D1409">
        <w:rPr>
          <w:noProof w:val="0"/>
          <w:lang w:eastAsia="en-US"/>
        </w:rPr>
        <w:t>Vişne</w:t>
      </w:r>
      <w:r w:rsidRPr="00AB72E3">
        <w:rPr>
          <w:noProof w:val="0"/>
          <w:lang w:eastAsia="en-US"/>
        </w:rPr>
        <w:t xml:space="preserve"> reçelinin mikrobiyolojik özellikleri</w:t>
      </w:r>
    </w:p>
    <w:p w:rsidR="00AB72E3" w:rsidRDefault="00AB72E3" w:rsidP="00A74402">
      <w:pPr>
        <w:contextualSpacing/>
        <w:rPr>
          <w:rFonts w:cs="Arial"/>
          <w:szCs w:val="20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9"/>
        <w:gridCol w:w="1560"/>
        <w:gridCol w:w="1320"/>
        <w:gridCol w:w="1200"/>
        <w:gridCol w:w="1261"/>
      </w:tblGrid>
      <w:tr w:rsidR="00AB72E3" w:rsidRPr="00AB72E3" w:rsidTr="00A74402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Mikrobiyolojik özellik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</w:tr>
      <w:tr w:rsidR="00AB72E3" w:rsidRPr="00AB72E3" w:rsidTr="00A74402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left"/>
              <w:rPr>
                <w:rFonts w:cs="Arial"/>
                <w:noProof w:val="0"/>
                <w:szCs w:val="20"/>
              </w:rPr>
            </w:pPr>
            <w:r w:rsidRPr="008611FE">
              <w:rPr>
                <w:rFonts w:cs="Arial"/>
                <w:noProof w:val="0"/>
                <w:szCs w:val="20"/>
              </w:rPr>
              <w:t>Küf</w:t>
            </w:r>
            <w:r>
              <w:rPr>
                <w:rFonts w:cs="Arial"/>
                <w:noProof w:val="0"/>
                <w:szCs w:val="20"/>
              </w:rPr>
              <w:t xml:space="preserve"> </w:t>
            </w:r>
            <w:r w:rsidRPr="00AB72E3">
              <w:rPr>
                <w:rFonts w:cs="Arial"/>
                <w:noProof w:val="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3</w:t>
            </w:r>
          </w:p>
        </w:tc>
      </w:tr>
      <w:tr w:rsidR="00AB72E3" w:rsidRPr="00AB72E3" w:rsidTr="00A74402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n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Analize alınacak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c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“M” değeri taşıyabilecek en fazla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(n-c) sayıdaki numunede bulunabilecek en fazla değer,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>: “c” sayıdaki numunede bulunabilecek en fazla değerdir.</w:t>
            </w:r>
          </w:p>
        </w:tc>
      </w:tr>
    </w:tbl>
    <w:p w:rsidR="00AB72E3" w:rsidRDefault="00AB72E3" w:rsidP="00A74402">
      <w:pPr>
        <w:contextualSpacing/>
        <w:rPr>
          <w:rFonts w:cs="Arial"/>
          <w:szCs w:val="20"/>
        </w:rPr>
      </w:pPr>
    </w:p>
    <w:p w:rsidR="00B97525" w:rsidRPr="00B97525" w:rsidRDefault="00B97525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</w:t>
      </w:r>
      <w:r>
        <w:rPr>
          <w:rFonts w:cs="Arial"/>
          <w:szCs w:val="20"/>
        </w:rPr>
        <w:t>3 Özellik, muayene ve deneyler</w:t>
      </w:r>
      <w:r w:rsidRPr="00B97525">
        <w:rPr>
          <w:rFonts w:cs="Arial"/>
          <w:szCs w:val="20"/>
        </w:rPr>
        <w:t xml:space="preserve"> Çizelge </w:t>
      </w:r>
      <w:r>
        <w:rPr>
          <w:rFonts w:cs="Arial"/>
          <w:szCs w:val="20"/>
        </w:rPr>
        <w:t>6</w:t>
      </w:r>
      <w:r w:rsidRPr="00B97525">
        <w:rPr>
          <w:rFonts w:cs="Arial"/>
          <w:szCs w:val="20"/>
        </w:rPr>
        <w:t xml:space="preserve"> aşağıdaki şekilde değiştirilmiştir. </w:t>
      </w:r>
    </w:p>
    <w:p w:rsidR="00AB72E3" w:rsidRPr="006F5FE6" w:rsidRDefault="00AB72E3" w:rsidP="00A74402">
      <w:pPr>
        <w:contextualSpacing/>
        <w:rPr>
          <w:rFonts w:cs="Arial"/>
          <w:b/>
          <w:szCs w:val="20"/>
        </w:rPr>
      </w:pPr>
    </w:p>
    <w:p w:rsidR="00B97525" w:rsidRPr="00B97525" w:rsidRDefault="00B97525" w:rsidP="00B97525">
      <w:pPr>
        <w:spacing w:line="240" w:lineRule="exact"/>
        <w:rPr>
          <w:noProof w:val="0"/>
          <w:lang w:eastAsia="en-US"/>
        </w:rPr>
      </w:pPr>
      <w:r w:rsidRPr="00B97525">
        <w:rPr>
          <w:b/>
          <w:bCs/>
          <w:noProof w:val="0"/>
          <w:lang w:eastAsia="en-US"/>
        </w:rPr>
        <w:t>Çizelge 6 -</w:t>
      </w:r>
      <w:r w:rsidRPr="00B97525">
        <w:rPr>
          <w:noProof w:val="0"/>
          <w:lang w:eastAsia="en-US"/>
        </w:rPr>
        <w:t xml:space="preserve"> Özellik, muayene ve deney</w:t>
      </w:r>
      <w:r>
        <w:rPr>
          <w:noProof w:val="0"/>
          <w:lang w:eastAsia="en-US"/>
        </w:rPr>
        <w:t xml:space="preserve"> madde numaraları</w:t>
      </w:r>
    </w:p>
    <w:p w:rsidR="00AC1983" w:rsidRDefault="00AC1983" w:rsidP="00B97525">
      <w:pPr>
        <w:spacing w:line="240" w:lineRule="exact"/>
        <w:rPr>
          <w:noProof w:val="0"/>
          <w:lang w:eastAsia="en-US"/>
        </w:rPr>
      </w:pPr>
    </w:p>
    <w:tbl>
      <w:tblPr>
        <w:tblW w:w="963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7"/>
        <w:gridCol w:w="2000"/>
        <w:gridCol w:w="2452"/>
      </w:tblGrid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Özellikler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Özellik Madde No.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Muayene ve Deney Madde No.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Ambalaj ve işaretleme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6.1 ve 6.2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5.2.1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Duyusal özellikler</w:t>
            </w:r>
          </w:p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4.2.1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5.2.2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Meyve oranı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4.2.2</w:t>
            </w: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5.3.1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 xml:space="preserve">Çözünür katı madde 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4.2.2</w:t>
            </w: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5.3.2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Kabın dolum oranı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4.2.3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5.3.3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Çekirdek veya parçası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4.2.3</w:t>
            </w: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5.3.4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>
            <w:pPr>
              <w:spacing w:line="240" w:lineRule="exact"/>
              <w:contextualSpacing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 xml:space="preserve">Ham ve kusurlu meyve 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4.2.3</w:t>
            </w: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5.3.5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pH</w:t>
            </w:r>
          </w:p>
        </w:tc>
        <w:tc>
          <w:tcPr>
            <w:tcW w:w="2000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5.3.6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Kükürtdioksit ve tuzları</w:t>
            </w:r>
          </w:p>
        </w:tc>
        <w:tc>
          <w:tcPr>
            <w:tcW w:w="2000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5.3.7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Yapay boya maddesi</w:t>
            </w:r>
          </w:p>
        </w:tc>
        <w:tc>
          <w:tcPr>
            <w:tcW w:w="2000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5.3.8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Hidroksimetilfurfural</w:t>
            </w:r>
          </w:p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4.2.4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5.3.9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K</w:t>
            </w:r>
            <w:r w:rsidRPr="00AC1983">
              <w:rPr>
                <w:noProof w:val="0"/>
                <w:lang w:eastAsia="en-US"/>
              </w:rPr>
              <w:t>üf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4.2.5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5.3.10</w:t>
            </w:r>
          </w:p>
        </w:tc>
      </w:tr>
    </w:tbl>
    <w:p w:rsidR="00AC1983" w:rsidRDefault="00AC1983" w:rsidP="00B97525">
      <w:pPr>
        <w:spacing w:line="240" w:lineRule="exact"/>
        <w:rPr>
          <w:noProof w:val="0"/>
          <w:lang w:eastAsia="en-US"/>
        </w:rPr>
      </w:pPr>
    </w:p>
    <w:p w:rsidR="006F5FE6" w:rsidRPr="006F5FE6" w:rsidRDefault="00475A2A" w:rsidP="006F5FE6">
      <w:pPr>
        <w:rPr>
          <w:rFonts w:cs="Arial"/>
          <w:b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</w:t>
      </w:r>
      <w:r w:rsidR="00AC1983">
        <w:rPr>
          <w:rFonts w:cs="Arial"/>
          <w:szCs w:val="20"/>
        </w:rPr>
        <w:t>10</w:t>
      </w:r>
      <w:r>
        <w:rPr>
          <w:rFonts w:cs="Arial"/>
          <w:szCs w:val="20"/>
        </w:rPr>
        <w:t xml:space="preserve"> “Maya ve küf tayini” başlığıyla beraber aşağıdaki şekilde değiştirilmiştir.</w:t>
      </w:r>
    </w:p>
    <w:p w:rsidR="006F5FE6" w:rsidRPr="006F5FE6" w:rsidRDefault="006F5FE6" w:rsidP="006F5FE6">
      <w:pPr>
        <w:jc w:val="left"/>
        <w:rPr>
          <w:rFonts w:cs="Arial"/>
          <w:b/>
          <w:szCs w:val="20"/>
        </w:rPr>
      </w:pPr>
    </w:p>
    <w:p w:rsidR="00475A2A" w:rsidRPr="00475A2A" w:rsidRDefault="00475A2A" w:rsidP="00475A2A">
      <w:pPr>
        <w:keepNext/>
        <w:tabs>
          <w:tab w:val="left" w:pos="709"/>
        </w:tabs>
        <w:jc w:val="left"/>
        <w:outlineLvl w:val="2"/>
        <w:rPr>
          <w:rFonts w:cs="Arial"/>
          <w:b/>
          <w:bCs/>
          <w:noProof w:val="0"/>
          <w:sz w:val="22"/>
          <w:szCs w:val="26"/>
          <w:lang w:eastAsia="en-US"/>
        </w:rPr>
      </w:pPr>
      <w:bookmarkStart w:id="2" w:name="_Toc231472567"/>
      <w:bookmarkStart w:id="3" w:name="_Toc231473095"/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>5.3.</w:t>
      </w:r>
      <w:r w:rsidR="00AC1983">
        <w:rPr>
          <w:rFonts w:cs="Arial"/>
          <w:b/>
          <w:bCs/>
          <w:noProof w:val="0"/>
          <w:sz w:val="22"/>
          <w:szCs w:val="26"/>
          <w:lang w:eastAsia="en-US"/>
        </w:rPr>
        <w:t>10</w:t>
      </w:r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ab/>
      </w:r>
      <w:r>
        <w:rPr>
          <w:rFonts w:cs="Arial"/>
          <w:b/>
          <w:bCs/>
          <w:noProof w:val="0"/>
          <w:sz w:val="22"/>
          <w:szCs w:val="26"/>
          <w:lang w:eastAsia="en-US"/>
        </w:rPr>
        <w:t>K</w:t>
      </w:r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>üf</w:t>
      </w:r>
      <w:bookmarkEnd w:id="2"/>
      <w:bookmarkEnd w:id="3"/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 xml:space="preserve"> </w:t>
      </w:r>
      <w:r>
        <w:rPr>
          <w:rFonts w:cs="Arial"/>
          <w:b/>
          <w:bCs/>
          <w:noProof w:val="0"/>
          <w:sz w:val="22"/>
          <w:szCs w:val="26"/>
          <w:lang w:eastAsia="en-US"/>
        </w:rPr>
        <w:t xml:space="preserve">sayımı </w:t>
      </w:r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 xml:space="preserve">tayini </w:t>
      </w:r>
    </w:p>
    <w:p w:rsidR="00475A2A" w:rsidRPr="00475A2A" w:rsidRDefault="00475A2A" w:rsidP="00475A2A">
      <w:pPr>
        <w:jc w:val="left"/>
        <w:rPr>
          <w:noProof w:val="0"/>
          <w:lang w:eastAsia="en-US"/>
        </w:rPr>
      </w:pPr>
      <w:r>
        <w:rPr>
          <w:noProof w:val="0"/>
          <w:lang w:eastAsia="en-US"/>
        </w:rPr>
        <w:t>K</w:t>
      </w:r>
      <w:r w:rsidRPr="00475A2A">
        <w:rPr>
          <w:noProof w:val="0"/>
          <w:lang w:eastAsia="en-US"/>
        </w:rPr>
        <w:t xml:space="preserve">üf </w:t>
      </w:r>
      <w:r>
        <w:rPr>
          <w:noProof w:val="0"/>
          <w:lang w:eastAsia="en-US"/>
        </w:rPr>
        <w:t xml:space="preserve">sayımı </w:t>
      </w:r>
      <w:r w:rsidRPr="00475A2A">
        <w:rPr>
          <w:noProof w:val="0"/>
          <w:lang w:eastAsia="en-US"/>
        </w:rPr>
        <w:t xml:space="preserve">tayini, </w:t>
      </w:r>
      <w:r w:rsidRPr="004D13C1">
        <w:t>TS ISO 21527-2</w:t>
      </w:r>
      <w:r>
        <w:t xml:space="preserve">’ye </w:t>
      </w:r>
      <w:r w:rsidRPr="00475A2A">
        <w:rPr>
          <w:noProof w:val="0"/>
          <w:lang w:eastAsia="en-US"/>
        </w:rPr>
        <w:t>göre yapılır. Sonucun</w:t>
      </w:r>
      <w:r w:rsidRPr="00475A2A">
        <w:rPr>
          <w:b/>
          <w:bCs/>
          <w:noProof w:val="0"/>
          <w:lang w:eastAsia="en-US"/>
        </w:rPr>
        <w:t xml:space="preserve"> </w:t>
      </w:r>
      <w:r w:rsidRPr="00475A2A">
        <w:rPr>
          <w:noProof w:val="0"/>
          <w:lang w:eastAsia="en-US"/>
        </w:rPr>
        <w:t>madde 4.2.5'e uygun olup olmadığına bakılır.</w:t>
      </w:r>
    </w:p>
    <w:p w:rsidR="00475A2A" w:rsidRPr="005163E8" w:rsidRDefault="00475A2A" w:rsidP="002E31DB">
      <w:pPr>
        <w:rPr>
          <w:szCs w:val="20"/>
        </w:rPr>
      </w:pPr>
    </w:p>
    <w:p w:rsidR="00475A2A" w:rsidRDefault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</w:t>
      </w:r>
      <w:r w:rsidR="00AC1983">
        <w:rPr>
          <w:rFonts w:cs="Arial"/>
          <w:szCs w:val="20"/>
        </w:rPr>
        <w:t>11</w:t>
      </w:r>
      <w:r>
        <w:rPr>
          <w:rFonts w:cs="Arial"/>
          <w:szCs w:val="20"/>
        </w:rPr>
        <w:t xml:space="preserve"> “</w:t>
      </w:r>
      <w:r w:rsidRPr="00A74402">
        <w:rPr>
          <w:rFonts w:cs="Arial"/>
          <w:i/>
          <w:szCs w:val="20"/>
        </w:rPr>
        <w:t xml:space="preserve">Salmonella </w:t>
      </w:r>
      <w:r>
        <w:rPr>
          <w:rFonts w:cs="Arial"/>
          <w:szCs w:val="20"/>
        </w:rPr>
        <w:t>spp. aranması ” standart metninden çıkarılmıştır.</w:t>
      </w:r>
    </w:p>
    <w:p w:rsidR="00475A2A" w:rsidRPr="00A74402" w:rsidRDefault="00475A2A" w:rsidP="00475A2A">
      <w:pPr>
        <w:rPr>
          <w:rFonts w:cs="Arial"/>
          <w:b/>
          <w:sz w:val="14"/>
          <w:szCs w:val="14"/>
        </w:rPr>
      </w:pPr>
    </w:p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AC1983">
        <w:rPr>
          <w:rFonts w:cs="Arial"/>
          <w:szCs w:val="20"/>
        </w:rPr>
        <w:t>2</w:t>
      </w:r>
      <w:r>
        <w:rPr>
          <w:rFonts w:cs="Arial"/>
          <w:szCs w:val="20"/>
        </w:rPr>
        <w:t xml:space="preserve"> “</w:t>
      </w:r>
      <w:r w:rsidRPr="00475A2A">
        <w:rPr>
          <w:i/>
          <w:noProof w:val="0"/>
          <w:szCs w:val="20"/>
          <w:lang w:eastAsia="en-US"/>
        </w:rPr>
        <w:t>L. monocytogenes</w:t>
      </w:r>
      <w:r w:rsidRPr="00475A2A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p w:rsidR="00475A2A" w:rsidRPr="00A74402" w:rsidRDefault="00475A2A" w:rsidP="00475A2A">
      <w:pPr>
        <w:rPr>
          <w:rFonts w:cs="Arial"/>
          <w:sz w:val="14"/>
          <w:szCs w:val="14"/>
        </w:rPr>
      </w:pPr>
    </w:p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AC1983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“</w:t>
      </w:r>
      <w:r w:rsidRPr="00475A2A">
        <w:rPr>
          <w:rFonts w:cs="Arial"/>
          <w:noProof w:val="0"/>
          <w:szCs w:val="20"/>
          <w:lang w:eastAsia="en-US"/>
        </w:rPr>
        <w:t xml:space="preserve">Termotolerant </w:t>
      </w:r>
      <w:r w:rsidRPr="00475A2A">
        <w:rPr>
          <w:rFonts w:cs="Arial"/>
          <w:i/>
          <w:noProof w:val="0"/>
          <w:szCs w:val="20"/>
          <w:lang w:eastAsia="en-US"/>
        </w:rPr>
        <w:t>Campylobacter</w:t>
      </w:r>
      <w:r w:rsidRPr="00475A2A">
        <w:rPr>
          <w:rFonts w:cs="Arial"/>
          <w:noProof w:val="0"/>
          <w:szCs w:val="20"/>
          <w:lang w:eastAsia="en-US"/>
        </w:rPr>
        <w:t xml:space="preserve"> spp. aranması</w:t>
      </w:r>
      <w:r>
        <w:rPr>
          <w:rFonts w:cs="Arial"/>
          <w:szCs w:val="20"/>
        </w:rPr>
        <w:t>” standart metninden çıkarılmıştır.</w:t>
      </w:r>
    </w:p>
    <w:p w:rsidR="00475A2A" w:rsidRPr="00A74402" w:rsidRDefault="00475A2A" w:rsidP="00475A2A">
      <w:pPr>
        <w:rPr>
          <w:sz w:val="14"/>
          <w:szCs w:val="14"/>
        </w:rPr>
      </w:pPr>
    </w:p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AC1983"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“</w:t>
      </w:r>
      <w:r w:rsidR="008F432E" w:rsidRPr="008F432E">
        <w:rPr>
          <w:rFonts w:cs="Arial"/>
          <w:bCs/>
          <w:i/>
          <w:noProof w:val="0"/>
          <w:szCs w:val="20"/>
          <w:lang w:eastAsia="en-US"/>
        </w:rPr>
        <w:t xml:space="preserve">E.coli </w:t>
      </w:r>
      <w:r w:rsidR="008F432E" w:rsidRPr="008F432E">
        <w:rPr>
          <w:rFonts w:cs="Arial"/>
          <w:bCs/>
          <w:noProof w:val="0"/>
          <w:szCs w:val="20"/>
          <w:lang w:eastAsia="en-US"/>
        </w:rPr>
        <w:t>aranması</w:t>
      </w:r>
      <w:r>
        <w:rPr>
          <w:rFonts w:cs="Arial"/>
          <w:szCs w:val="20"/>
        </w:rPr>
        <w:t>” standart metninden çıkarılmıştır.</w:t>
      </w:r>
    </w:p>
    <w:p w:rsidR="00475A2A" w:rsidRPr="00A74402" w:rsidRDefault="00475A2A">
      <w:pPr>
        <w:rPr>
          <w:sz w:val="14"/>
          <w:szCs w:val="14"/>
        </w:rPr>
      </w:pPr>
    </w:p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lastRenderedPageBreak/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AC1983">
        <w:rPr>
          <w:rFonts w:cs="Arial"/>
          <w:szCs w:val="20"/>
        </w:rPr>
        <w:t>5</w:t>
      </w:r>
      <w:r>
        <w:rPr>
          <w:rFonts w:cs="Arial"/>
          <w:szCs w:val="20"/>
        </w:rPr>
        <w:t xml:space="preserve"> “</w:t>
      </w:r>
      <w:r w:rsidR="008F432E" w:rsidRPr="008F432E">
        <w:rPr>
          <w:i/>
          <w:noProof w:val="0"/>
          <w:szCs w:val="20"/>
          <w:lang w:eastAsia="en-US"/>
        </w:rPr>
        <w:t>S. aureus</w:t>
      </w:r>
      <w:r w:rsidR="008F432E" w:rsidRPr="008F432E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p w:rsidR="008F432E" w:rsidRPr="00A74402" w:rsidRDefault="008F432E" w:rsidP="00475A2A">
      <w:pPr>
        <w:rPr>
          <w:rFonts w:cs="Arial"/>
          <w:sz w:val="14"/>
          <w:szCs w:val="14"/>
        </w:rPr>
      </w:pPr>
    </w:p>
    <w:p w:rsidR="00F91F76" w:rsidRDefault="008F432E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044158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“</w:t>
      </w:r>
      <w:r w:rsidR="00F91F76" w:rsidRPr="00F91F76">
        <w:rPr>
          <w:i/>
          <w:noProof w:val="0"/>
          <w:szCs w:val="20"/>
          <w:lang w:eastAsia="en-US"/>
        </w:rPr>
        <w:t>B. cereus</w:t>
      </w:r>
      <w:r w:rsidR="00F91F76" w:rsidRPr="00F91F76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p w:rsidR="00F91F76" w:rsidRPr="00A74402" w:rsidRDefault="00F91F76">
      <w:pPr>
        <w:rPr>
          <w:i/>
          <w:noProof w:val="0"/>
          <w:sz w:val="14"/>
          <w:szCs w:val="14"/>
          <w:lang w:eastAsia="en-US"/>
        </w:rPr>
      </w:pPr>
    </w:p>
    <w:p w:rsidR="00631C04" w:rsidRPr="006812F2" w:rsidRDefault="00F91F76">
      <w:pPr>
        <w:rPr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044158">
        <w:rPr>
          <w:rFonts w:cs="Arial"/>
          <w:szCs w:val="20"/>
        </w:rPr>
        <w:t>7</w:t>
      </w:r>
      <w:r>
        <w:rPr>
          <w:rFonts w:cs="Arial"/>
          <w:szCs w:val="20"/>
        </w:rPr>
        <w:t xml:space="preserve"> “</w:t>
      </w:r>
      <w:r w:rsidRPr="00F91F76">
        <w:rPr>
          <w:i/>
          <w:noProof w:val="0"/>
          <w:szCs w:val="20"/>
          <w:lang w:eastAsia="en-US"/>
        </w:rPr>
        <w:t>C. perfringens</w:t>
      </w:r>
      <w:r w:rsidRPr="00F91F76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sectPr w:rsidR="00631C04" w:rsidRPr="006812F2" w:rsidSect="008272AD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983" w:rsidRDefault="00AC1983">
      <w:r>
        <w:separator/>
      </w:r>
    </w:p>
  </w:endnote>
  <w:endnote w:type="continuationSeparator" w:id="0">
    <w:p w:rsidR="00AC1983" w:rsidRDefault="00AC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983" w:rsidRDefault="00AC1983">
      <w:r>
        <w:separator/>
      </w:r>
    </w:p>
  </w:footnote>
  <w:footnote w:type="continuationSeparator" w:id="0">
    <w:p w:rsidR="00AC1983" w:rsidRDefault="00AC1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ECF"/>
    <w:multiLevelType w:val="hybridMultilevel"/>
    <w:tmpl w:val="9350FB3E"/>
    <w:lvl w:ilvl="0" w:tplc="237A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8431B85"/>
    <w:multiLevelType w:val="hybridMultilevel"/>
    <w:tmpl w:val="3BBC2350"/>
    <w:lvl w:ilvl="0" w:tplc="54C6C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94A79"/>
    <w:multiLevelType w:val="hybridMultilevel"/>
    <w:tmpl w:val="073E205A"/>
    <w:lvl w:ilvl="0" w:tplc="6E124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078B8"/>
    <w:multiLevelType w:val="hybridMultilevel"/>
    <w:tmpl w:val="4B2A1788"/>
    <w:lvl w:ilvl="0" w:tplc="806C4F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79480A5B"/>
    <w:multiLevelType w:val="hybridMultilevel"/>
    <w:tmpl w:val="88AC9AC2"/>
    <w:lvl w:ilvl="0" w:tplc="D6A868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LkHjhdjX3A5zanXfOCqE+MRVyiOfdnDBeswjIF8RCVPV6h+NVU//YnyiZWj+/boa0172BjEz0nxBj0EpHOSyKA==" w:salt="T5neq04XUn5QWVC4vMwvM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00BB8"/>
    <w:rsid w:val="0001125A"/>
    <w:rsid w:val="00011B2F"/>
    <w:rsid w:val="0002245F"/>
    <w:rsid w:val="00026DCA"/>
    <w:rsid w:val="00044158"/>
    <w:rsid w:val="00061296"/>
    <w:rsid w:val="000646BA"/>
    <w:rsid w:val="00071C04"/>
    <w:rsid w:val="00073BB4"/>
    <w:rsid w:val="00074DFE"/>
    <w:rsid w:val="000772B7"/>
    <w:rsid w:val="00084F05"/>
    <w:rsid w:val="000932C0"/>
    <w:rsid w:val="0009617D"/>
    <w:rsid w:val="000B40A5"/>
    <w:rsid w:val="000B4147"/>
    <w:rsid w:val="000B6564"/>
    <w:rsid w:val="000C0D54"/>
    <w:rsid w:val="000C5429"/>
    <w:rsid w:val="000D448E"/>
    <w:rsid w:val="000D7ED5"/>
    <w:rsid w:val="000E55FE"/>
    <w:rsid w:val="000F121D"/>
    <w:rsid w:val="000F405A"/>
    <w:rsid w:val="000F647E"/>
    <w:rsid w:val="00111ECA"/>
    <w:rsid w:val="00121534"/>
    <w:rsid w:val="00131690"/>
    <w:rsid w:val="00134E30"/>
    <w:rsid w:val="00136773"/>
    <w:rsid w:val="001415E7"/>
    <w:rsid w:val="00141D09"/>
    <w:rsid w:val="0015267C"/>
    <w:rsid w:val="00184B5B"/>
    <w:rsid w:val="00187776"/>
    <w:rsid w:val="00193892"/>
    <w:rsid w:val="001A2C99"/>
    <w:rsid w:val="001A61EE"/>
    <w:rsid w:val="001B493D"/>
    <w:rsid w:val="001C35B3"/>
    <w:rsid w:val="001C3751"/>
    <w:rsid w:val="001D7B36"/>
    <w:rsid w:val="002006D9"/>
    <w:rsid w:val="002017F9"/>
    <w:rsid w:val="0021617A"/>
    <w:rsid w:val="00232A82"/>
    <w:rsid w:val="002358E8"/>
    <w:rsid w:val="002362D5"/>
    <w:rsid w:val="00260F8F"/>
    <w:rsid w:val="002727EE"/>
    <w:rsid w:val="00277FB9"/>
    <w:rsid w:val="002B330D"/>
    <w:rsid w:val="002B7037"/>
    <w:rsid w:val="002D0A0A"/>
    <w:rsid w:val="002E31DB"/>
    <w:rsid w:val="002E42F8"/>
    <w:rsid w:val="002F0F0E"/>
    <w:rsid w:val="002F1443"/>
    <w:rsid w:val="003001AD"/>
    <w:rsid w:val="00304F4A"/>
    <w:rsid w:val="003129A5"/>
    <w:rsid w:val="003372DA"/>
    <w:rsid w:val="00342B62"/>
    <w:rsid w:val="0035585A"/>
    <w:rsid w:val="00364DF8"/>
    <w:rsid w:val="00365F0B"/>
    <w:rsid w:val="00366DE6"/>
    <w:rsid w:val="00373425"/>
    <w:rsid w:val="00391BAA"/>
    <w:rsid w:val="003954B1"/>
    <w:rsid w:val="00397CA2"/>
    <w:rsid w:val="003A0AD4"/>
    <w:rsid w:val="003C3EE6"/>
    <w:rsid w:val="003D44F7"/>
    <w:rsid w:val="003D5004"/>
    <w:rsid w:val="003F34DA"/>
    <w:rsid w:val="003F4881"/>
    <w:rsid w:val="00420295"/>
    <w:rsid w:val="00430FD2"/>
    <w:rsid w:val="004479B2"/>
    <w:rsid w:val="00460033"/>
    <w:rsid w:val="00461925"/>
    <w:rsid w:val="00461F27"/>
    <w:rsid w:val="00475A2A"/>
    <w:rsid w:val="004864E5"/>
    <w:rsid w:val="004864FC"/>
    <w:rsid w:val="00493573"/>
    <w:rsid w:val="00496010"/>
    <w:rsid w:val="004D7A9C"/>
    <w:rsid w:val="004E643E"/>
    <w:rsid w:val="004F23BF"/>
    <w:rsid w:val="004F3131"/>
    <w:rsid w:val="005062DE"/>
    <w:rsid w:val="00510F18"/>
    <w:rsid w:val="00524763"/>
    <w:rsid w:val="0054063F"/>
    <w:rsid w:val="00543E2A"/>
    <w:rsid w:val="00543FB1"/>
    <w:rsid w:val="00564902"/>
    <w:rsid w:val="00582DA8"/>
    <w:rsid w:val="00584E1F"/>
    <w:rsid w:val="00586BDC"/>
    <w:rsid w:val="005A2503"/>
    <w:rsid w:val="005A38AE"/>
    <w:rsid w:val="005A4FAB"/>
    <w:rsid w:val="005B1F84"/>
    <w:rsid w:val="005B3047"/>
    <w:rsid w:val="005C1EE5"/>
    <w:rsid w:val="005D1409"/>
    <w:rsid w:val="005D39D8"/>
    <w:rsid w:val="005F63F5"/>
    <w:rsid w:val="005F7591"/>
    <w:rsid w:val="0061364E"/>
    <w:rsid w:val="006217DD"/>
    <w:rsid w:val="00630783"/>
    <w:rsid w:val="00630927"/>
    <w:rsid w:val="00631C04"/>
    <w:rsid w:val="0064090F"/>
    <w:rsid w:val="006542FC"/>
    <w:rsid w:val="00660597"/>
    <w:rsid w:val="006669A8"/>
    <w:rsid w:val="00673024"/>
    <w:rsid w:val="006812F2"/>
    <w:rsid w:val="00690553"/>
    <w:rsid w:val="006960F5"/>
    <w:rsid w:val="006B0763"/>
    <w:rsid w:val="006B1C38"/>
    <w:rsid w:val="006C30BA"/>
    <w:rsid w:val="006C71D9"/>
    <w:rsid w:val="006D743F"/>
    <w:rsid w:val="006F3DBC"/>
    <w:rsid w:val="006F5FE6"/>
    <w:rsid w:val="00701216"/>
    <w:rsid w:val="007027A2"/>
    <w:rsid w:val="00712715"/>
    <w:rsid w:val="007236AE"/>
    <w:rsid w:val="00726F26"/>
    <w:rsid w:val="00730354"/>
    <w:rsid w:val="00741492"/>
    <w:rsid w:val="0074187A"/>
    <w:rsid w:val="00745105"/>
    <w:rsid w:val="00752D3B"/>
    <w:rsid w:val="00755285"/>
    <w:rsid w:val="00763150"/>
    <w:rsid w:val="00764EF0"/>
    <w:rsid w:val="00772BE6"/>
    <w:rsid w:val="007836D3"/>
    <w:rsid w:val="007A70F4"/>
    <w:rsid w:val="007B1FBF"/>
    <w:rsid w:val="007B642E"/>
    <w:rsid w:val="007D0D53"/>
    <w:rsid w:val="007D1903"/>
    <w:rsid w:val="007D1BB8"/>
    <w:rsid w:val="007E27C2"/>
    <w:rsid w:val="008115A1"/>
    <w:rsid w:val="0082557F"/>
    <w:rsid w:val="008272AD"/>
    <w:rsid w:val="00834B82"/>
    <w:rsid w:val="00834DAE"/>
    <w:rsid w:val="008611FE"/>
    <w:rsid w:val="008854FC"/>
    <w:rsid w:val="00897839"/>
    <w:rsid w:val="008A2531"/>
    <w:rsid w:val="008B355A"/>
    <w:rsid w:val="008B7FD4"/>
    <w:rsid w:val="008C2D5A"/>
    <w:rsid w:val="008C54AC"/>
    <w:rsid w:val="008D075A"/>
    <w:rsid w:val="008D4EDC"/>
    <w:rsid w:val="008E3331"/>
    <w:rsid w:val="008F432E"/>
    <w:rsid w:val="008F6321"/>
    <w:rsid w:val="008F72AD"/>
    <w:rsid w:val="00901B60"/>
    <w:rsid w:val="009025A8"/>
    <w:rsid w:val="009045EB"/>
    <w:rsid w:val="0090479A"/>
    <w:rsid w:val="00926EAA"/>
    <w:rsid w:val="009310BF"/>
    <w:rsid w:val="00941F64"/>
    <w:rsid w:val="00956F56"/>
    <w:rsid w:val="00961713"/>
    <w:rsid w:val="00966B88"/>
    <w:rsid w:val="0097083D"/>
    <w:rsid w:val="00992ED8"/>
    <w:rsid w:val="009B104D"/>
    <w:rsid w:val="009B1BBB"/>
    <w:rsid w:val="009B6C9E"/>
    <w:rsid w:val="009C2FE1"/>
    <w:rsid w:val="009C4C1C"/>
    <w:rsid w:val="009D346D"/>
    <w:rsid w:val="009F12F8"/>
    <w:rsid w:val="009F2A87"/>
    <w:rsid w:val="009F582F"/>
    <w:rsid w:val="009F6208"/>
    <w:rsid w:val="009F635F"/>
    <w:rsid w:val="009F6C34"/>
    <w:rsid w:val="00A05B10"/>
    <w:rsid w:val="00A125BB"/>
    <w:rsid w:val="00A146E3"/>
    <w:rsid w:val="00A240FC"/>
    <w:rsid w:val="00A26657"/>
    <w:rsid w:val="00A605B9"/>
    <w:rsid w:val="00A64B1C"/>
    <w:rsid w:val="00A6681F"/>
    <w:rsid w:val="00A66FDF"/>
    <w:rsid w:val="00A7147E"/>
    <w:rsid w:val="00A74365"/>
    <w:rsid w:val="00A74402"/>
    <w:rsid w:val="00A75578"/>
    <w:rsid w:val="00A81DF6"/>
    <w:rsid w:val="00AA6DAA"/>
    <w:rsid w:val="00AB0D5C"/>
    <w:rsid w:val="00AB4BB8"/>
    <w:rsid w:val="00AB72E3"/>
    <w:rsid w:val="00AC1983"/>
    <w:rsid w:val="00AC6C95"/>
    <w:rsid w:val="00AE1A9C"/>
    <w:rsid w:val="00B21939"/>
    <w:rsid w:val="00B220E2"/>
    <w:rsid w:val="00B264B3"/>
    <w:rsid w:val="00B37AF7"/>
    <w:rsid w:val="00B5315A"/>
    <w:rsid w:val="00B65815"/>
    <w:rsid w:val="00B81A3B"/>
    <w:rsid w:val="00B9562D"/>
    <w:rsid w:val="00B97525"/>
    <w:rsid w:val="00B9763F"/>
    <w:rsid w:val="00BA0238"/>
    <w:rsid w:val="00BA485B"/>
    <w:rsid w:val="00BC1AC9"/>
    <w:rsid w:val="00BC41E3"/>
    <w:rsid w:val="00BC47DF"/>
    <w:rsid w:val="00BD5599"/>
    <w:rsid w:val="00BD77D2"/>
    <w:rsid w:val="00BE0369"/>
    <w:rsid w:val="00BF1182"/>
    <w:rsid w:val="00BF7B75"/>
    <w:rsid w:val="00C1680E"/>
    <w:rsid w:val="00C24CC4"/>
    <w:rsid w:val="00C261E0"/>
    <w:rsid w:val="00C353B6"/>
    <w:rsid w:val="00C448E7"/>
    <w:rsid w:val="00C56E1A"/>
    <w:rsid w:val="00C66E45"/>
    <w:rsid w:val="00C679CA"/>
    <w:rsid w:val="00C752F9"/>
    <w:rsid w:val="00C8127A"/>
    <w:rsid w:val="00C87DB3"/>
    <w:rsid w:val="00C90D73"/>
    <w:rsid w:val="00C91B99"/>
    <w:rsid w:val="00CA7B63"/>
    <w:rsid w:val="00CB4269"/>
    <w:rsid w:val="00CB4934"/>
    <w:rsid w:val="00CC3CA9"/>
    <w:rsid w:val="00CD0C9A"/>
    <w:rsid w:val="00CD2C07"/>
    <w:rsid w:val="00CF293B"/>
    <w:rsid w:val="00CF3570"/>
    <w:rsid w:val="00CF38C8"/>
    <w:rsid w:val="00CF57CF"/>
    <w:rsid w:val="00D05385"/>
    <w:rsid w:val="00D17D7C"/>
    <w:rsid w:val="00D277E1"/>
    <w:rsid w:val="00D30CDC"/>
    <w:rsid w:val="00D364CB"/>
    <w:rsid w:val="00D41C76"/>
    <w:rsid w:val="00D75D3B"/>
    <w:rsid w:val="00D76403"/>
    <w:rsid w:val="00D764E2"/>
    <w:rsid w:val="00D95ABA"/>
    <w:rsid w:val="00DA46AE"/>
    <w:rsid w:val="00DA5D76"/>
    <w:rsid w:val="00DC074A"/>
    <w:rsid w:val="00DC38D3"/>
    <w:rsid w:val="00DF3B21"/>
    <w:rsid w:val="00E0031E"/>
    <w:rsid w:val="00E021CE"/>
    <w:rsid w:val="00E042E2"/>
    <w:rsid w:val="00E20A88"/>
    <w:rsid w:val="00E26AA8"/>
    <w:rsid w:val="00E26BA0"/>
    <w:rsid w:val="00E342A8"/>
    <w:rsid w:val="00E405A9"/>
    <w:rsid w:val="00E51BB3"/>
    <w:rsid w:val="00E72167"/>
    <w:rsid w:val="00E75176"/>
    <w:rsid w:val="00E93969"/>
    <w:rsid w:val="00E95E1D"/>
    <w:rsid w:val="00EA4E2E"/>
    <w:rsid w:val="00EA79DD"/>
    <w:rsid w:val="00EF1C20"/>
    <w:rsid w:val="00EF7E78"/>
    <w:rsid w:val="00F04158"/>
    <w:rsid w:val="00F06EF5"/>
    <w:rsid w:val="00F17866"/>
    <w:rsid w:val="00F227AD"/>
    <w:rsid w:val="00F24D0F"/>
    <w:rsid w:val="00F25169"/>
    <w:rsid w:val="00F26DF4"/>
    <w:rsid w:val="00F33C3D"/>
    <w:rsid w:val="00F542C6"/>
    <w:rsid w:val="00F57AA3"/>
    <w:rsid w:val="00F6680E"/>
    <w:rsid w:val="00F72AEE"/>
    <w:rsid w:val="00F80A60"/>
    <w:rsid w:val="00F87F3B"/>
    <w:rsid w:val="00F91F76"/>
    <w:rsid w:val="00FA346A"/>
    <w:rsid w:val="00FA3C3E"/>
    <w:rsid w:val="00FB2FF7"/>
    <w:rsid w:val="00FB761A"/>
    <w:rsid w:val="00FC3231"/>
    <w:rsid w:val="00FD26AF"/>
    <w:rsid w:val="00FD58F1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16C1F9"/>
  <w15:docId w15:val="{FC7DBD7D-C190-4DAF-98D5-6FF9B6C6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FBF"/>
    <w:pPr>
      <w:jc w:val="both"/>
    </w:pPr>
    <w:rPr>
      <w:rFonts w:ascii="Arial" w:hAnsi="Arial"/>
      <w:noProof/>
      <w:szCs w:val="24"/>
    </w:rPr>
  </w:style>
  <w:style w:type="paragraph" w:styleId="Balk1">
    <w:name w:val="heading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365F0B"/>
    <w:rPr>
      <w:strike w:val="0"/>
      <w:dstrike w:val="0"/>
      <w:color w:val="000080"/>
      <w:sz w:val="17"/>
      <w:szCs w:val="17"/>
      <w:u w:val="none"/>
      <w:effect w:val="none"/>
    </w:rPr>
  </w:style>
  <w:style w:type="paragraph" w:customStyle="1" w:styleId="a">
    <w:basedOn w:val="Normal"/>
    <w:next w:val="stBilgi"/>
    <w:link w:val="stbilgiChar0"/>
    <w:rsid w:val="0097083D"/>
    <w:pPr>
      <w:tabs>
        <w:tab w:val="center" w:pos="4536"/>
        <w:tab w:val="right" w:pos="9072"/>
      </w:tabs>
      <w:jc w:val="left"/>
    </w:pPr>
    <w:rPr>
      <w:rFonts w:ascii="Times New Roman" w:hAnsi="Times New Roman"/>
      <w:noProof w:val="0"/>
      <w:sz w:val="24"/>
      <w:lang w:val="en-US"/>
    </w:rPr>
  </w:style>
  <w:style w:type="character" w:customStyle="1" w:styleId="stbilgiChar0">
    <w:name w:val="Üstbilgi Char"/>
    <w:basedOn w:val="VarsaylanParagrafYazTipi"/>
    <w:link w:val="a"/>
    <w:rsid w:val="0097083D"/>
    <w:rPr>
      <w:rFonts w:ascii="Times New Roman" w:eastAsia="Times New Roman" w:hAnsi="Times New Roman"/>
      <w:sz w:val="24"/>
      <w:szCs w:val="24"/>
      <w:lang w:val="en-US"/>
    </w:rPr>
  </w:style>
  <w:style w:type="paragraph" w:styleId="GvdeMetniGirintisi2">
    <w:name w:val="Body Text Indent 2"/>
    <w:basedOn w:val="Normal"/>
    <w:link w:val="GvdeMetniGirintisi2Char"/>
    <w:rsid w:val="0097083D"/>
    <w:pPr>
      <w:spacing w:after="120" w:line="480" w:lineRule="auto"/>
      <w:ind w:left="283"/>
      <w:jc w:val="left"/>
    </w:pPr>
    <w:rPr>
      <w:noProof w:val="0"/>
      <w:lang w:eastAsia="en-US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7083D"/>
    <w:rPr>
      <w:rFonts w:ascii="Arial" w:hAnsi="Arial"/>
      <w:szCs w:val="24"/>
      <w:lang w:eastAsia="en-US"/>
    </w:rPr>
  </w:style>
  <w:style w:type="character" w:styleId="Gl">
    <w:name w:val="Strong"/>
    <w:basedOn w:val="VarsaylanParagrafYazTipi"/>
    <w:qFormat/>
    <w:rsid w:val="009708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8DE1D-ED59-4902-AB5A-7611B16F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3</cp:revision>
  <cp:lastPrinted>2017-01-25T17:16:00Z</cp:lastPrinted>
  <dcterms:created xsi:type="dcterms:W3CDTF">2017-02-06T12:28:00Z</dcterms:created>
  <dcterms:modified xsi:type="dcterms:W3CDTF">2017-02-06T12:29:00Z</dcterms:modified>
</cp:coreProperties>
</file>